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4D14" w14:textId="77777777" w:rsidR="00907550" w:rsidRDefault="00907550"/>
    <w:p w14:paraId="404E1D22" w14:textId="77777777" w:rsidR="00907550" w:rsidRDefault="00000000">
      <w:pPr>
        <w:spacing w:after="60"/>
        <w:jc w:val="center"/>
      </w:pPr>
      <w:r>
        <w:rPr>
          <w:rFonts w:eastAsia="Arial"/>
          <w:color w:val="2E5090"/>
          <w:sz w:val="40"/>
          <w:szCs w:val="40"/>
        </w:rPr>
        <w:t>零售战略深度分析报告</w:t>
      </w:r>
    </w:p>
    <w:p w14:paraId="77B99EAC" w14:textId="5EAE2398" w:rsidR="00907550" w:rsidRPr="00CC24E0" w:rsidRDefault="00000000" w:rsidP="00CC24E0">
      <w:pPr>
        <w:spacing w:after="480"/>
        <w:jc w:val="center"/>
        <w:rPr>
          <w:rFonts w:hint="eastAsia"/>
        </w:rPr>
      </w:pPr>
      <w:r>
        <w:rPr>
          <w:rFonts w:eastAsia="Arial"/>
          <w:i/>
          <w:iCs/>
          <w:color w:val="666666"/>
          <w:sz w:val="24"/>
          <w:szCs w:val="24"/>
        </w:rPr>
        <w:t xml:space="preserve">基于 9,994 </w:t>
      </w:r>
      <w:proofErr w:type="gramStart"/>
      <w:r>
        <w:rPr>
          <w:rFonts w:eastAsia="Arial"/>
          <w:i/>
          <w:iCs/>
          <w:color w:val="666666"/>
          <w:sz w:val="24"/>
          <w:szCs w:val="24"/>
        </w:rPr>
        <w:t>笔历史</w:t>
      </w:r>
      <w:proofErr w:type="gramEnd"/>
      <w:r>
        <w:rPr>
          <w:rFonts w:eastAsia="Arial"/>
          <w:i/>
          <w:iCs/>
          <w:color w:val="666666"/>
          <w:sz w:val="24"/>
          <w:szCs w:val="24"/>
        </w:rPr>
        <w:t>订单的数据驱动洞察</w:t>
      </w:r>
    </w:p>
    <w:p w14:paraId="270928B8" w14:textId="77777777" w:rsidR="00907550" w:rsidRDefault="00000000">
      <w:pPr>
        <w:pStyle w:val="1"/>
        <w:pBdr>
          <w:bottom w:val="single" w:sz="6" w:space="4" w:color="1F3864"/>
        </w:pBdr>
      </w:pPr>
      <w:r>
        <w:t>执行摘要</w:t>
      </w:r>
    </w:p>
    <w:p w14:paraId="256BD49E" w14:textId="77777777" w:rsidR="00907550" w:rsidRDefault="00000000">
      <w:pPr>
        <w:spacing w:before="80" w:after="80"/>
        <w:jc w:val="both"/>
      </w:pPr>
      <w:r>
        <w:rPr>
          <w:rFonts w:eastAsia="Arial"/>
        </w:rPr>
        <w:t>本报告围绕三个核心战略问题展开深度数据分析。总体而言，超市之家 的整体经营存在明显的结构性矛盾：公司在追求规模的同时，部分业务正在系统性地消耗利润。数据显示，三大问题相互关联，根源在于折扣政策失控与品类战略错位。</w:t>
      </w:r>
    </w:p>
    <w:p w14:paraId="34C86699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07550" w14:paraId="4BD3213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714D413" w14:textId="77777777" w:rsidR="00907550" w:rsidRDefault="00000000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AAAAFF"/>
                <w:sz w:val="18"/>
                <w:szCs w:val="18"/>
              </w:rPr>
              <w:t>问题一</w:t>
            </w:r>
          </w:p>
          <w:p w14:paraId="4518A43C" w14:textId="77777777" w:rsidR="00907550" w:rsidRDefault="00000000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</w:rPr>
              <w:t>家具品类陷阱</w:t>
            </w:r>
          </w:p>
          <w:p w14:paraId="5D6168A3" w14:textId="77777777" w:rsidR="00907550" w:rsidRDefault="00000000">
            <w:pPr>
              <w:jc w:val="center"/>
            </w:pPr>
            <w:r>
              <w:rPr>
                <w:rFonts w:eastAsia="Arial"/>
                <w:color w:val="FFAAAA"/>
                <w:sz w:val="18"/>
                <w:szCs w:val="18"/>
              </w:rPr>
              <w:t>桌子 亏损 $17,725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09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CF8230E" w14:textId="77777777" w:rsidR="00907550" w:rsidRDefault="00000000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AAAAFF"/>
                <w:sz w:val="18"/>
                <w:szCs w:val="18"/>
              </w:rPr>
              <w:t>问题二</w:t>
            </w:r>
          </w:p>
          <w:p w14:paraId="5665DB3A" w14:textId="77777777" w:rsidR="00907550" w:rsidRDefault="00000000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</w:rPr>
              <w:t>折扣是利润杀手</w:t>
            </w:r>
          </w:p>
          <w:p w14:paraId="1C9825C0" w14:textId="77777777" w:rsidR="00907550" w:rsidRDefault="00000000">
            <w:pPr>
              <w:jc w:val="center"/>
            </w:pPr>
            <w:r>
              <w:rPr>
                <w:rFonts w:eastAsia="Arial"/>
                <w:color w:val="FFAAAA"/>
                <w:sz w:val="18"/>
                <w:szCs w:val="18"/>
              </w:rPr>
              <w:t>超20折扣利润率 -10%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415DA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3ECFCE3" w14:textId="77777777" w:rsidR="00907550" w:rsidRDefault="00000000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AAAAFF"/>
                <w:sz w:val="18"/>
                <w:szCs w:val="18"/>
              </w:rPr>
              <w:t>问题三</w:t>
            </w:r>
          </w:p>
          <w:p w14:paraId="05AE448B" w14:textId="77777777" w:rsidR="00907550" w:rsidRDefault="00000000">
            <w:pPr>
              <w:spacing w:after="40"/>
              <w:jc w:val="center"/>
            </w:pPr>
            <w:r>
              <w:rPr>
                <w:rFonts w:eastAsia="Arial"/>
                <w:b/>
                <w:bCs/>
                <w:color w:val="FFFFFF"/>
              </w:rPr>
              <w:t>客户结构误判</w:t>
            </w:r>
          </w:p>
          <w:p w14:paraId="09884531" w14:textId="77777777" w:rsidR="00907550" w:rsidRDefault="00000000">
            <w:pPr>
              <w:jc w:val="center"/>
            </w:pPr>
            <w:r>
              <w:rPr>
                <w:rFonts w:eastAsia="Arial"/>
                <w:color w:val="AAFFAA"/>
                <w:sz w:val="18"/>
                <w:szCs w:val="18"/>
              </w:rPr>
              <w:t>家庭办公 利润率最高</w:t>
            </w:r>
          </w:p>
        </w:tc>
      </w:tr>
    </w:tbl>
    <w:p w14:paraId="7DAE58ED" w14:textId="77777777" w:rsidR="00907550" w:rsidRDefault="00907550"/>
    <w:p w14:paraId="24967868" w14:textId="77777777" w:rsidR="00907550" w:rsidRDefault="00907550">
      <w:pPr>
        <w:pBdr>
          <w:bottom w:val="single" w:sz="2" w:space="4" w:color="DDDDDD"/>
        </w:pBdr>
        <w:spacing w:before="200" w:after="200"/>
      </w:pPr>
    </w:p>
    <w:p w14:paraId="3B95EE72" w14:textId="77777777" w:rsidR="00907550" w:rsidRDefault="00000000">
      <w:pPr>
        <w:pStyle w:val="1"/>
        <w:pBdr>
          <w:bottom w:val="single" w:sz="6" w:space="4" w:color="1F3864"/>
        </w:pBdr>
      </w:pPr>
      <w:r>
        <w:t>问题</w:t>
      </w:r>
      <w:proofErr w:type="gramStart"/>
      <w:r>
        <w:t>一</w:t>
      </w:r>
      <w:proofErr w:type="gramEnd"/>
      <w:r>
        <w:t>：我们在哪里赚钱，在哪里烧钱？</w:t>
      </w:r>
    </w:p>
    <w:p w14:paraId="01E95BE4" w14:textId="77777777" w:rsidR="00907550" w:rsidRDefault="00000000">
      <w:pPr>
        <w:spacing w:before="80" w:after="80"/>
        <w:jc w:val="both"/>
      </w:pPr>
      <w:r>
        <w:rPr>
          <w:rFonts w:eastAsia="Arial"/>
        </w:rPr>
        <w:t>我的直觉是：不是所有的销售额都值得追求。公司长期以销售额作为核心考核指标，但销售额的增长是否真正转化为利润，是我最想验证的问题。</w:t>
      </w:r>
    </w:p>
    <w:p w14:paraId="7076F073" w14:textId="77777777" w:rsidR="00907550" w:rsidRDefault="00907550"/>
    <w:p w14:paraId="1DF35595" w14:textId="77777777" w:rsidR="00907550" w:rsidRDefault="00000000">
      <w:pPr>
        <w:pStyle w:val="2"/>
      </w:pPr>
      <w:r>
        <w:t>1.1 品类层面：科技类 是真正的利润引擎</w:t>
      </w:r>
    </w:p>
    <w:p w14:paraId="1B26EB9B" w14:textId="77777777" w:rsidR="00907550" w:rsidRDefault="00000000">
      <w:pPr>
        <w:spacing w:before="80" w:after="80"/>
        <w:jc w:val="both"/>
      </w:pPr>
      <w:r>
        <w:rPr>
          <w:rFonts w:eastAsia="Arial"/>
        </w:rPr>
        <w:t>数据给出了清晰的答案。三大品类的利润率差异极为显著：</w:t>
      </w:r>
    </w:p>
    <w:p w14:paraId="3F294ECF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800"/>
        <w:gridCol w:w="1800"/>
        <w:gridCol w:w="1200"/>
        <w:gridCol w:w="2060"/>
      </w:tblGrid>
      <w:tr w:rsidR="00907550" w14:paraId="70DC1C0B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12933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5666BD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总销售额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0390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总利润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794C2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2B59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评估</w:t>
            </w:r>
          </w:p>
        </w:tc>
      </w:tr>
      <w:tr w:rsidR="00907550" w14:paraId="17DEA2E9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CBDD1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AE37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$836,154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49B8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$145,455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7F615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5EB3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核心利润来源</w:t>
            </w:r>
          </w:p>
        </w:tc>
      </w:tr>
      <w:tr w:rsidR="00907550" w14:paraId="0FBA6D5B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C8203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47DD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$719,047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D59C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$122,491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A26F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17.0%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5E5B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规模小但高效</w:t>
            </w:r>
          </w:p>
        </w:tc>
      </w:tr>
      <w:tr w:rsidR="00907550" w14:paraId="19CD7AB7" w14:textId="7777777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207A8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ECC2C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$741,999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9F53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$18,451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41D29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2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37E15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规模大但低效</w:t>
            </w:r>
          </w:p>
        </w:tc>
      </w:tr>
    </w:tbl>
    <w:p w14:paraId="7AE96E5B" w14:textId="77777777" w:rsidR="00907550" w:rsidRDefault="00907550"/>
    <w:p w14:paraId="683B9BE2" w14:textId="77777777" w:rsidR="00907550" w:rsidRDefault="00000000">
      <w:pPr>
        <w:spacing w:before="80" w:after="80"/>
        <w:jc w:val="both"/>
      </w:pPr>
      <w:r>
        <w:rPr>
          <w:rFonts w:eastAsia="Arial"/>
        </w:rPr>
        <w:t>家具类 品类以 $742K 的销售额排名第二，但利润率仅 2.5%，几乎处于盈亏平衡线。相比之下，科技类 和 办公用品类 的利润率均超过 17%。这说明我们在家具品类上投入了大量资源（仓储、物流、销售力量），但回报极为有限。</w:t>
      </w:r>
    </w:p>
    <w:p w14:paraId="51D80CA2" w14:textId="77777777" w:rsidR="00907550" w:rsidRDefault="00907550"/>
    <w:p w14:paraId="68699364" w14:textId="77777777" w:rsidR="00907550" w:rsidRDefault="00000000">
      <w:pPr>
        <w:pStyle w:val="2"/>
      </w:pPr>
      <w:r>
        <w:t>1.2 子品类层面：三个明确的亏损黑洞</w:t>
      </w:r>
    </w:p>
    <w:p w14:paraId="35485CCA" w14:textId="77777777" w:rsidR="00907550" w:rsidRDefault="00000000">
      <w:pPr>
        <w:spacing w:before="80" w:after="80"/>
        <w:jc w:val="both"/>
      </w:pPr>
      <w:r>
        <w:rPr>
          <w:rFonts w:eastAsia="Arial"/>
        </w:rPr>
        <w:t>当我们穿透品类看子品类时，问题变得更加尖锐。以下三个子品类的销售额均不低，但全部处于</w:t>
      </w:r>
      <w:r>
        <w:rPr>
          <w:rFonts w:eastAsia="Arial"/>
        </w:rPr>
        <w:lastRenderedPageBreak/>
        <w:t>亏损状态：</w:t>
      </w:r>
    </w:p>
    <w:p w14:paraId="341C75B8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2"/>
        <w:gridCol w:w="1710"/>
        <w:gridCol w:w="1710"/>
        <w:gridCol w:w="1710"/>
        <w:gridCol w:w="1282"/>
        <w:gridCol w:w="1026"/>
      </w:tblGrid>
      <w:tr w:rsidR="00907550" w14:paraId="062B532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CE07F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子品类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D3B02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所属品类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D9185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总销售额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47456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总利润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FB2A1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4847C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订单数</w:t>
            </w:r>
          </w:p>
        </w:tc>
      </w:tr>
      <w:tr w:rsidR="00907550" w14:paraId="0B5AA503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21D6C2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桌子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8B74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C00B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$206,966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4A2A2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-$17,725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AFEA21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-8.6%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5E68F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319</w:t>
            </w:r>
          </w:p>
        </w:tc>
      </w:tr>
      <w:tr w:rsidR="00907550" w14:paraId="2E80500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92C3F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书柜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A343A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7448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$114,880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BD7166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-$3,473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414EC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-3.0%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3646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228</w:t>
            </w:r>
          </w:p>
        </w:tc>
      </w:tr>
      <w:tr w:rsidR="00907550" w14:paraId="5DA1C4C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B4A15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耗材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A5AED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061B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$46,674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208E28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-$1,189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A599E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-2.5%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CC80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190</w:t>
            </w:r>
          </w:p>
        </w:tc>
      </w:tr>
    </w:tbl>
    <w:p w14:paraId="2205D34B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8872"/>
      </w:tblGrid>
      <w:tr w:rsidR="00907550" w14:paraId="79DC14BC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79A0B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⚠️ 关键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712D81DE" w14:textId="77777777" w:rsidR="00907550" w:rsidRDefault="00000000">
            <w:r>
              <w:rPr>
                <w:rFonts w:eastAsia="Arial"/>
                <w:i/>
                <w:iCs/>
                <w:sz w:val="21"/>
                <w:szCs w:val="21"/>
              </w:rPr>
              <w:t>桌子 子品类每产生 $1 的销售额，实际上就在亏损 8.6 分。这不是边际问题，而是结构性定价或成本问题。319 笔订单意味着我们正在系统性地、重复性地亏钱。</w:t>
            </w:r>
          </w:p>
        </w:tc>
      </w:tr>
    </w:tbl>
    <w:p w14:paraId="0B147081" w14:textId="77777777" w:rsidR="00907550" w:rsidRDefault="00907550"/>
    <w:p w14:paraId="2A2CB040" w14:textId="77777777" w:rsidR="00907550" w:rsidRDefault="00000000">
      <w:pPr>
        <w:spacing w:before="80" w:after="80"/>
        <w:jc w:val="both"/>
      </w:pPr>
      <w:r>
        <w:rPr>
          <w:rFonts w:eastAsia="Arial"/>
        </w:rPr>
        <w:t>与此形成鲜明对比的是利润率最高的子品类：</w:t>
      </w:r>
    </w:p>
    <w:p w14:paraId="0F72413F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1800"/>
        <w:gridCol w:w="1800"/>
        <w:gridCol w:w="1760"/>
      </w:tblGrid>
      <w:tr w:rsidR="00907550" w14:paraId="0C6131D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DD7FE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子品类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93F767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所属品类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6F2E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总销售额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047A8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总利润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9A80F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</w:tr>
      <w:tr w:rsidR="00907550" w14:paraId="50B74A9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228FA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标签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AABBD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3EED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$12,486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F2EA9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$5,546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4DE0D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44.4%</w:t>
            </w:r>
          </w:p>
        </w:tc>
      </w:tr>
      <w:tr w:rsidR="00907550" w14:paraId="3B7DB7C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6067C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纸张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38549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D0AE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$78,479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7068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$34,054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2F42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43.4%</w:t>
            </w:r>
          </w:p>
        </w:tc>
      </w:tr>
      <w:tr w:rsidR="00907550" w14:paraId="730A01E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093A0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信封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2C59C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7C524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$16,476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C34F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$6,964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7FDA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42.3%</w:t>
            </w:r>
          </w:p>
        </w:tc>
      </w:tr>
      <w:tr w:rsidR="00907550" w14:paraId="0E033CF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7AA6C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复印机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51D15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9DEB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$149,528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41C4C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$55,618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261BB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37.2%</w:t>
            </w:r>
          </w:p>
        </w:tc>
      </w:tr>
      <w:tr w:rsidR="00907550" w14:paraId="54D07E9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77E24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配件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F08D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C1F65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$167,380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36AB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$41,937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F136D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25.1%</w:t>
            </w:r>
          </w:p>
        </w:tc>
      </w:tr>
    </w:tbl>
    <w:p w14:paraId="5D961796" w14:textId="77777777" w:rsidR="00907550" w:rsidRDefault="00907550"/>
    <w:p w14:paraId="6213CB6D" w14:textId="77777777" w:rsidR="00907550" w:rsidRDefault="00000000">
      <w:pPr>
        <w:spacing w:before="80" w:after="80"/>
        <w:jc w:val="both"/>
      </w:pPr>
      <w:r>
        <w:rPr>
          <w:rFonts w:eastAsia="Arial"/>
        </w:rPr>
        <w:t>值得注意的是，机器设备（科技品类，$189K 销售额）的利润率只有 1.79%——虽然没有亏损，但几乎不创造价值，且每笔订单金额巨大，资金占用成本不容忽视。</w:t>
      </w:r>
    </w:p>
    <w:p w14:paraId="2C70110E" w14:textId="77777777" w:rsidR="00907550" w:rsidRDefault="00907550"/>
    <w:p w14:paraId="624B149C" w14:textId="77777777" w:rsidR="00907550" w:rsidRDefault="00000000">
      <w:pPr>
        <w:pStyle w:val="2"/>
      </w:pPr>
      <w:r>
        <w:t>1.3 高管结论</w:t>
      </w:r>
    </w:p>
    <w:p w14:paraId="75628C4B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  <w:b/>
          <w:bCs/>
        </w:rPr>
        <w:t>必须停止将 桌子、书柜 视为正常业务。建议启动专项审查：是否应该大幅提价、削减折扣，或直接考虑退出这两个子品类。</w:t>
      </w:r>
    </w:p>
    <w:p w14:paraId="60AD2177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科技类 品类，尤其是 复印机 和 配件，是公司真正的利润来源，资源配置应向其倾斜。</w:t>
      </w:r>
    </w:p>
    <w:p w14:paraId="6CE9B4C2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办公用品类 虽然单价低，但利润率极高，属于被低估的优质业务。</w:t>
      </w:r>
    </w:p>
    <w:p w14:paraId="5CC87135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建议将子品类利润率纳入销售团队的核心 关键绩效指标 体系，而非仅考核销售额。</w:t>
      </w:r>
    </w:p>
    <w:p w14:paraId="10ABEC7A" w14:textId="77777777" w:rsidR="00907550" w:rsidRDefault="00907550"/>
    <w:p w14:paraId="2E9BBF37" w14:textId="77777777" w:rsidR="00907550" w:rsidRDefault="00907550">
      <w:pPr>
        <w:pBdr>
          <w:bottom w:val="single" w:sz="2" w:space="4" w:color="DDDDDD"/>
        </w:pBdr>
        <w:spacing w:before="200" w:after="200"/>
      </w:pPr>
    </w:p>
    <w:p w14:paraId="280371FB" w14:textId="77777777" w:rsidR="00907550" w:rsidRDefault="00000000">
      <w:pPr>
        <w:pStyle w:val="1"/>
        <w:pBdr>
          <w:bottom w:val="single" w:sz="6" w:space="4" w:color="1F3864"/>
        </w:pBdr>
      </w:pPr>
      <w:r>
        <w:t>问题二：我们的折扣政策在帮助业务还是伤害它？</w:t>
      </w:r>
    </w:p>
    <w:p w14:paraId="27386B39" w14:textId="77777777" w:rsidR="00907550" w:rsidRDefault="00000000">
      <w:pPr>
        <w:spacing w:before="80" w:after="80"/>
        <w:jc w:val="both"/>
      </w:pPr>
      <w:r>
        <w:rPr>
          <w:rFonts w:eastAsia="Arial"/>
        </w:rPr>
        <w:t>长期以来，我怀疑销售团队在过度使用折扣权限。给客户折扣是为了促成交易，但如果折扣本身</w:t>
      </w:r>
      <w:r>
        <w:rPr>
          <w:rFonts w:eastAsia="Arial"/>
        </w:rPr>
        <w:lastRenderedPageBreak/>
        <w:t>导致亏损，那这笔交易就没有意义。数据现在给出了明确答案。</w:t>
      </w:r>
    </w:p>
    <w:p w14:paraId="3A7636A9" w14:textId="77777777" w:rsidR="00907550" w:rsidRDefault="00907550"/>
    <w:p w14:paraId="641BB9C6" w14:textId="77777777" w:rsidR="00907550" w:rsidRDefault="00000000">
      <w:pPr>
        <w:pStyle w:val="2"/>
      </w:pPr>
      <w:r>
        <w:t>2.1 折扣与利润的关系：存在明确断崖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1120"/>
        <w:gridCol w:w="1456"/>
        <w:gridCol w:w="1791"/>
        <w:gridCol w:w="1344"/>
        <w:gridCol w:w="1859"/>
      </w:tblGrid>
      <w:tr w:rsidR="00907550" w14:paraId="0CAAFA40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2CC9B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折扣区间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00A75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订单数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7E1487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总利润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E659B5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平均单笔利润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C4659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F3BD1D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判断</w:t>
            </w:r>
          </w:p>
        </w:tc>
      </w:tr>
      <w:tr w:rsidR="00907550" w14:paraId="7AE6D856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F0E44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0%（无折扣）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3163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4,798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D7980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$320,988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EFA41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$66.90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73A5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29.5%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05B46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强盈利</w:t>
            </w:r>
          </w:p>
        </w:tc>
      </w:tr>
      <w:tr w:rsidR="00907550" w14:paraId="31EF6B83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6644A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1-10%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226E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B325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$9,029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2776A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$96.06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FF6A8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16.6%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A603E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尚可</w:t>
            </w:r>
          </w:p>
        </w:tc>
      </w:tr>
      <w:tr w:rsidR="00907550" w14:paraId="6EBA0916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C50D6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11-20%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6103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3,709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7D13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$91,756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2D5C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$24.74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0B54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11.6%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0700E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警惕</w:t>
            </w:r>
          </w:p>
        </w:tc>
      </w:tr>
      <w:tr w:rsidR="00907550" w14:paraId="20F0C97C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B7E4F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21-30%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299D8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8C1AA1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-$10,369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6783E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-$45.68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FAFA0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-10.1%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1637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亏损</w:t>
            </w:r>
          </w:p>
        </w:tc>
      </w:tr>
      <w:tr w:rsidR="00907550" w14:paraId="56BDC8C4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E4EF2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31-40%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D77CE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F3503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-$25,448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016313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-$109.22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427F1C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-19.4%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3194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严重亏损</w:t>
            </w:r>
          </w:p>
        </w:tc>
      </w:tr>
      <w:tr w:rsidR="00907550" w14:paraId="100532B6" w14:textId="77777777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CBF51F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41%+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87920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933</w:t>
            </w:r>
          </w:p>
        </w:tc>
        <w:tc>
          <w:tcPr>
            <w:tcW w:w="1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93835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-$99,559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E2F29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-$106.71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3EC93" w14:textId="77777777" w:rsidR="00907550" w:rsidRDefault="00000000">
            <w:pPr>
              <w:jc w:val="center"/>
            </w:pPr>
            <w:r>
              <w:rPr>
                <w:rFonts w:eastAsia="Arial"/>
                <w:color w:val="C00000"/>
                <w:sz w:val="20"/>
                <w:szCs w:val="20"/>
              </w:rPr>
              <w:t>-77.4%</w:t>
            </w:r>
          </w:p>
        </w:tc>
        <w:tc>
          <w:tcPr>
            <w:tcW w:w="16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76B1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灾难性亏损</w:t>
            </w:r>
          </w:p>
        </w:tc>
      </w:tr>
    </w:tbl>
    <w:p w14:paraId="32772C23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8872"/>
      </w:tblGrid>
      <w:tr w:rsidR="00907550" w14:paraId="549364AF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50126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📌 核心发现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C69DEC2" w14:textId="77777777" w:rsidR="00907550" w:rsidRDefault="00000000">
            <w:r>
              <w:rPr>
                <w:rFonts w:eastAsia="Arial"/>
                <w:i/>
                <w:iCs/>
                <w:sz w:val="21"/>
                <w:szCs w:val="21"/>
              </w:rPr>
              <w:t xml:space="preserve">折扣超过 20% 是明确的盈利断崖。无折扣订单的利润率高达 29.5%，而 20% 以上折扣的订单全部陷入亏损。1,393 </w:t>
            </w:r>
            <w:proofErr w:type="gramStart"/>
            <w:r>
              <w:rPr>
                <w:rFonts w:eastAsia="Arial"/>
                <w:i/>
                <w:iCs/>
                <w:sz w:val="21"/>
                <w:szCs w:val="21"/>
              </w:rPr>
              <w:t>笔高折扣</w:t>
            </w:r>
            <w:proofErr w:type="gramEnd"/>
            <w:r>
              <w:rPr>
                <w:rFonts w:eastAsia="Arial"/>
                <w:i/>
                <w:iCs/>
                <w:sz w:val="21"/>
                <w:szCs w:val="21"/>
              </w:rPr>
              <w:t>订单（超过 20%）合计亏损超过 $135,000，几乎抵消了公司近半的利润。</w:t>
            </w:r>
          </w:p>
        </w:tc>
      </w:tr>
    </w:tbl>
    <w:p w14:paraId="358A6DDC" w14:textId="77777777" w:rsidR="00907550" w:rsidRDefault="00907550"/>
    <w:p w14:paraId="1AA5540F" w14:textId="77777777" w:rsidR="00907550" w:rsidRDefault="00000000">
      <w:pPr>
        <w:spacing w:before="80" w:after="80"/>
        <w:jc w:val="both"/>
      </w:pPr>
      <w:r>
        <w:rPr>
          <w:rFonts w:eastAsia="Arial"/>
        </w:rPr>
        <w:t>更令人担忧的是，41% 以上的超高折扣订单共 933 笔，平均每笔亏损 $106.71，合计亏损近 $100,000。这些订单究竟是谁批准的？依据是什么？</w:t>
      </w:r>
    </w:p>
    <w:p w14:paraId="539693B2" w14:textId="77777777" w:rsidR="00907550" w:rsidRDefault="00907550"/>
    <w:p w14:paraId="52AD021C" w14:textId="77777777" w:rsidR="00907550" w:rsidRDefault="00000000">
      <w:pPr>
        <w:pStyle w:val="2"/>
      </w:pPr>
      <w:r>
        <w:t>2.2 哪个地区的折扣使用最激进？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1800"/>
        <w:gridCol w:w="2100"/>
        <w:gridCol w:w="1800"/>
        <w:gridCol w:w="1460"/>
      </w:tblGrid>
      <w:tr w:rsidR="00907550" w14:paraId="26FE745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6BBF8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地区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60418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平均折扣率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7CEE1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超20%折扣订单占比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8767D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整体利润率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670B3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评估</w:t>
            </w:r>
          </w:p>
        </w:tc>
      </w:tr>
      <w:tr w:rsidR="00907550" w14:paraId="49D36A45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C139D8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中部地区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D4D4F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24.0%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A8B6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27.7%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C2C47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F6C43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问题最严重</w:t>
            </w:r>
          </w:p>
        </w:tc>
      </w:tr>
      <w:tr w:rsidR="00907550" w14:paraId="05F29E3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0BA8C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南部地区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172C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C7DE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B5EED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11.9%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785B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中等风险</w:t>
            </w:r>
          </w:p>
        </w:tc>
      </w:tr>
      <w:tr w:rsidR="00907550" w14:paraId="14654D3F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D90A8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东部地区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3589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14.5%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A97B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16.2%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AE87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13.5%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45A9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偏高</w:t>
            </w:r>
          </w:p>
        </w:tc>
      </w:tr>
      <w:tr w:rsidR="00907550" w14:paraId="0DD30256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51284E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西部地区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83F79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2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BDA7E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0341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14.9%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3B665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相对健康</w:t>
            </w:r>
          </w:p>
        </w:tc>
      </w:tr>
    </w:tbl>
    <w:p w14:paraId="730D5D27" w14:textId="77777777" w:rsidR="00907550" w:rsidRDefault="00907550"/>
    <w:p w14:paraId="62BB9F0C" w14:textId="77777777" w:rsidR="00907550" w:rsidRDefault="00000000">
      <w:pPr>
        <w:spacing w:before="80" w:after="80"/>
        <w:jc w:val="both"/>
      </w:pPr>
      <w:r>
        <w:rPr>
          <w:rFonts w:eastAsia="Arial"/>
        </w:rPr>
        <w:t>中部 地区的问题触目惊心：平均折扣高达 24%，近三成订单折扣超过 20%，导致整体利润率只有 7.9%，仅为 西部 地区的一半。这不是市场竞争环境造成的，而是折扣纪律崩溃的结果。</w:t>
      </w:r>
    </w:p>
    <w:p w14:paraId="52D16F31" w14:textId="77777777" w:rsidR="00907550" w:rsidRDefault="00907550"/>
    <w:p w14:paraId="47A390DA" w14:textId="77777777" w:rsidR="00907550" w:rsidRDefault="00000000">
      <w:pPr>
        <w:pStyle w:val="2"/>
      </w:pPr>
      <w:r>
        <w:t>2.3 哪个品类的折扣最泛滥？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9"/>
        <w:gridCol w:w="1860"/>
        <w:gridCol w:w="2376"/>
        <w:gridCol w:w="2025"/>
      </w:tblGrid>
      <w:tr w:rsidR="00907550" w14:paraId="29BACA96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F8E42B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631D2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平均折扣率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203DB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超20%折扣订单占比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AB5BC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整体利润率</w:t>
            </w:r>
          </w:p>
        </w:tc>
      </w:tr>
      <w:tr w:rsidR="00907550" w14:paraId="56F47425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FA956F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3C55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5E0AF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25.6%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98A1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2.5%</w:t>
            </w:r>
          </w:p>
        </w:tc>
      </w:tr>
      <w:tr w:rsidR="00907550" w14:paraId="5C6CAC0C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881B6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lastRenderedPageBreak/>
              <w:t>办公用品类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350DE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15.7%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2B78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11.3%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7657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17.0%</w:t>
            </w:r>
          </w:p>
        </w:tc>
      </w:tr>
      <w:tr w:rsidR="00907550" w14:paraId="278720CD" w14:textId="77777777"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12113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EB22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13.2%</w:t>
            </w:r>
          </w:p>
        </w:tc>
        <w:tc>
          <w:tcPr>
            <w:tcW w:w="23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74D98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9.3%</w:t>
            </w:r>
          </w:p>
        </w:tc>
        <w:tc>
          <w:tcPr>
            <w:tcW w:w="1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CB0B8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17.4%</w:t>
            </w:r>
          </w:p>
        </w:tc>
      </w:tr>
    </w:tbl>
    <w:p w14:paraId="060226A0" w14:textId="77777777" w:rsidR="00907550" w:rsidRDefault="00907550"/>
    <w:p w14:paraId="1B908CE9" w14:textId="77777777" w:rsidR="00907550" w:rsidRDefault="00000000">
      <w:pPr>
        <w:spacing w:before="80" w:after="80"/>
        <w:jc w:val="both"/>
      </w:pPr>
      <w:r>
        <w:rPr>
          <w:rFonts w:eastAsia="Arial"/>
        </w:rPr>
        <w:t>家具品类同时面临两个困境：产品本身利润率低，同时折扣使用率最高。25.6% 的家具订单折扣超过 20%，这两个问题叠加，导致家具品类的利润率被压缩到仅 2.5%。这绝非偶然，而是系统性问题。</w:t>
      </w:r>
    </w:p>
    <w:p w14:paraId="137A96BF" w14:textId="77777777" w:rsidR="00907550" w:rsidRDefault="00907550"/>
    <w:p w14:paraId="60F5D788" w14:textId="77777777" w:rsidR="00907550" w:rsidRDefault="00000000">
      <w:pPr>
        <w:pStyle w:val="2"/>
      </w:pPr>
      <w:r>
        <w:t>2.4 高管结论</w:t>
      </w:r>
    </w:p>
    <w:p w14:paraId="525A5472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  <w:b/>
          <w:bCs/>
        </w:rPr>
        <w:t>立即设定折扣审批上限政策：20% 以下由销售人员自主决定，20%-30% 须</w:t>
      </w:r>
      <w:proofErr w:type="gramStart"/>
      <w:r>
        <w:rPr>
          <w:rFonts w:eastAsia="Arial"/>
          <w:b/>
          <w:bCs/>
        </w:rPr>
        <w:t>经区域</w:t>
      </w:r>
      <w:proofErr w:type="gramEnd"/>
      <w:r>
        <w:rPr>
          <w:rFonts w:eastAsia="Arial"/>
          <w:b/>
          <w:bCs/>
        </w:rPr>
        <w:t>经理审批，30% 以上须经副总裁审批。</w:t>
      </w:r>
    </w:p>
    <w:p w14:paraId="6E6683A9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对 中部 地区进行专项审计，彻查高折扣订单的批准流程和依据。</w:t>
      </w:r>
    </w:p>
    <w:p w14:paraId="6DD5D9F6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将折扣纪律指标纳入区域经理的季度绩效考核，与利润率直接挂钩。</w:t>
      </w:r>
    </w:p>
    <w:p w14:paraId="40179E0A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家具品类的折扣权限应单独收紧，因为该品类本身利润空间极小，任何折扣都会导致亏损。</w:t>
      </w:r>
    </w:p>
    <w:p w14:paraId="6516C038" w14:textId="77777777" w:rsidR="00907550" w:rsidRDefault="00907550"/>
    <w:p w14:paraId="34D91556" w14:textId="77777777" w:rsidR="00907550" w:rsidRDefault="00907550">
      <w:pPr>
        <w:pBdr>
          <w:bottom w:val="single" w:sz="2" w:space="4" w:color="DDDDDD"/>
        </w:pBdr>
        <w:spacing w:before="200" w:after="200"/>
      </w:pPr>
    </w:p>
    <w:p w14:paraId="07145ACA" w14:textId="77777777" w:rsidR="00907550" w:rsidRDefault="00000000">
      <w:pPr>
        <w:pStyle w:val="1"/>
        <w:pBdr>
          <w:bottom w:val="single" w:sz="6" w:space="4" w:color="1F3864"/>
        </w:pBdr>
      </w:pPr>
      <w:r>
        <w:t>问题三：我们的大客户真的更有价值吗？</w:t>
      </w:r>
    </w:p>
    <w:p w14:paraId="32EBA2FE" w14:textId="77777777" w:rsidR="00907550" w:rsidRDefault="00000000">
      <w:pPr>
        <w:spacing w:before="80" w:after="80"/>
        <w:jc w:val="both"/>
      </w:pPr>
      <w:r>
        <w:rPr>
          <w:rFonts w:eastAsia="Arial"/>
        </w:rPr>
        <w:t>我们的销售团队长期重视 企业客户 客户，认为其订单金额大、关系稳定，是优质客户群。消费者 群体体量最大，但我一直怀疑其价值被高估了。数据揭示了一个出乎意料的结论。</w:t>
      </w:r>
    </w:p>
    <w:p w14:paraId="14D8B92D" w14:textId="77777777" w:rsidR="00907550" w:rsidRDefault="00907550"/>
    <w:p w14:paraId="5944B116" w14:textId="77777777" w:rsidR="00907550" w:rsidRDefault="00000000">
      <w:pPr>
        <w:pStyle w:val="2"/>
      </w:pPr>
      <w:r>
        <w:t>3.1 三类客户的全面对比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974"/>
        <w:gridCol w:w="1418"/>
        <w:gridCol w:w="1384"/>
        <w:gridCol w:w="1367"/>
        <w:gridCol w:w="1160"/>
        <w:gridCol w:w="1304"/>
      </w:tblGrid>
      <w:tr w:rsidR="00907550" w14:paraId="150BB16E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4A8C9B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客户细分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00FA9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订单数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9418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平均订单金额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72A783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总销售额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12887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总利润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CC9803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0842E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平均折扣</w:t>
            </w:r>
          </w:p>
        </w:tc>
      </w:tr>
      <w:tr w:rsidR="00907550" w14:paraId="3C9BBF10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A27ED5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E8A23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1,783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42D7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$241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70F00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$429,653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B4C14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$60,299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67124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14.0%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475E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14.7%</w:t>
            </w:r>
          </w:p>
        </w:tc>
      </w:tr>
      <w:tr w:rsidR="00907550" w14:paraId="580CB641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D9FBB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企业客户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5976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3,020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D6B4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$234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38A8F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$706,146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B67AA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$91,979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BFC4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13.0%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9548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15.8%</w:t>
            </w:r>
          </w:p>
        </w:tc>
      </w:tr>
      <w:tr w:rsidR="00907550" w14:paraId="7874281A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8B513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消费者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7957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5,191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D979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$224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CB5B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$1,161,401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C4537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$134,119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C2232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11.5%</w:t>
            </w:r>
          </w:p>
        </w:tc>
        <w:tc>
          <w:tcPr>
            <w:tcW w:w="1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AF70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15.8%</w:t>
            </w:r>
          </w:p>
        </w:tc>
      </w:tr>
    </w:tbl>
    <w:p w14:paraId="1B336CC0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935"/>
      </w:tblGrid>
      <w:tr w:rsidR="00907550" w14:paraId="7A5CB74C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FCC9B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💡 反直觉发现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8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0AB91B65" w14:textId="77777777" w:rsidR="00907550" w:rsidRDefault="00000000">
            <w:r>
              <w:rPr>
                <w:rFonts w:eastAsia="Arial"/>
                <w:i/>
                <w:iCs/>
                <w:sz w:val="21"/>
                <w:szCs w:val="21"/>
              </w:rPr>
              <w:t>家庭办公 客户群虽然体量最小，利润率却最高（14.0%）。消费者 群体订单量最多，但利润率最低（11.5%）。我们的资源配置可能长期以来存在错误的优先级。</w:t>
            </w:r>
          </w:p>
        </w:tc>
      </w:tr>
    </w:tbl>
    <w:p w14:paraId="51F0D4FF" w14:textId="77777777" w:rsidR="00907550" w:rsidRDefault="00907550"/>
    <w:p w14:paraId="1F28142E" w14:textId="77777777" w:rsidR="00907550" w:rsidRDefault="00000000">
      <w:pPr>
        <w:spacing w:before="80" w:after="80"/>
        <w:jc w:val="both"/>
      </w:pPr>
      <w:r>
        <w:rPr>
          <w:rFonts w:eastAsia="Arial"/>
        </w:rPr>
        <w:t>企业客户 和 消费者 客户使用了几乎相同的折扣力度（均为 15.8%），但 企业客户 的利润率反而</w:t>
      </w:r>
      <w:r>
        <w:rPr>
          <w:rFonts w:eastAsia="Arial"/>
        </w:rPr>
        <w:lastRenderedPageBreak/>
        <w:t>更高，说明 企业客户 客户的产品结构可能更优。真正问题在于 消费者 群体——最大的客户群，却是利润率最低的。</w:t>
      </w:r>
    </w:p>
    <w:p w14:paraId="5F9ADE82" w14:textId="77777777" w:rsidR="00907550" w:rsidRDefault="00907550"/>
    <w:p w14:paraId="53570B19" w14:textId="77777777" w:rsidR="00907550" w:rsidRDefault="00000000">
      <w:pPr>
        <w:pStyle w:val="2"/>
      </w:pPr>
      <w:r>
        <w:t>3.2 穿透到品类：家具是所有客户群的利润陷阱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2051"/>
        <w:gridCol w:w="1930"/>
        <w:gridCol w:w="1447"/>
        <w:gridCol w:w="1761"/>
      </w:tblGrid>
      <w:tr w:rsidR="00907550" w14:paraId="5A7CFDF5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1B12C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客户细分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6BED3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37652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总销售额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6F278B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CCDB8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平均折扣</w:t>
            </w:r>
          </w:p>
        </w:tc>
      </w:tr>
      <w:tr w:rsidR="00907550" w14:paraId="0AD1D86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279259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消费者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61AD9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0F1B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$406,400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A5CF2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07C9B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13.4%</w:t>
            </w:r>
          </w:p>
        </w:tc>
      </w:tr>
      <w:tr w:rsidR="00907550" w14:paraId="0AD1A1D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66E0D9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消费者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CB5F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E2D2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$363,952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7429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15.5%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2FD7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15.9%</w:t>
            </w:r>
          </w:p>
        </w:tc>
      </w:tr>
      <w:tr w:rsidR="00907550" w14:paraId="7D9E9C7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39B53E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消费者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AE1B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E22CC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$391,049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BCAF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1.8%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56FC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17.7%</w:t>
            </w:r>
          </w:p>
        </w:tc>
      </w:tr>
      <w:tr w:rsidR="00907550" w14:paraId="27B085AA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5FD70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企业客户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89B1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370D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$246,450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2BCE2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17.9%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F976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13.2%</w:t>
            </w:r>
          </w:p>
        </w:tc>
      </w:tr>
      <w:tr w:rsidR="00907550" w14:paraId="1D28DB5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4A187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企业客户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B5788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DEC87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$230,676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BE224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17.4%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35C08F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16.1%</w:t>
            </w:r>
          </w:p>
        </w:tc>
      </w:tr>
      <w:tr w:rsidR="00907550" w14:paraId="4409CF6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740EBF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企业客户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6835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86A4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$229,020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30EC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3.3%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B877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17.4%</w:t>
            </w:r>
          </w:p>
        </w:tc>
      </w:tr>
      <w:tr w:rsidR="00907550" w14:paraId="4E33CFB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59793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4CC5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办公用品类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D06C6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$124,418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B0E0B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6B46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14.7%</w:t>
            </w:r>
          </w:p>
        </w:tc>
      </w:tr>
      <w:tr w:rsidR="00907550" w14:paraId="589E1DA5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4D33C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8754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科技类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57B50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$183,304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99D8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16.6%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CE37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12.7%</w:t>
            </w:r>
          </w:p>
        </w:tc>
      </w:tr>
      <w:tr w:rsidR="00907550" w14:paraId="140BF739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43A9A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902D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家具类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F6E6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$121,931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ABC3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331D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16.5%</w:t>
            </w:r>
          </w:p>
        </w:tc>
      </w:tr>
    </w:tbl>
    <w:p w14:paraId="2A1811B0" w14:textId="77777777" w:rsidR="00907550" w:rsidRDefault="00907550"/>
    <w:p w14:paraId="786B4774" w14:textId="77777777" w:rsidR="00907550" w:rsidRDefault="00000000">
      <w:pPr>
        <w:spacing w:before="80" w:after="80"/>
        <w:jc w:val="both"/>
      </w:pPr>
      <w:r>
        <w:rPr>
          <w:rFonts w:eastAsia="Arial"/>
        </w:rPr>
        <w:t>家具品类在所有三类客户中都是利润率最低的业务，消费者 购买家具的利润率仅 1.8%。值得注意的是，家庭办公 客户购买 办公用品类 的利润率高达 20.8%，是所有细分中最高的。</w:t>
      </w:r>
    </w:p>
    <w:p w14:paraId="46A12806" w14:textId="77777777" w:rsidR="00907550" w:rsidRDefault="00907550"/>
    <w:p w14:paraId="2F8943D3" w14:textId="77777777" w:rsidR="00907550" w:rsidRDefault="00000000">
      <w:pPr>
        <w:pStyle w:val="2"/>
      </w:pPr>
      <w:r>
        <w:t>3.3 地区维度：东部 区的 家庭办公 是隐藏的金矿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1710"/>
        <w:gridCol w:w="1710"/>
        <w:gridCol w:w="1282"/>
        <w:gridCol w:w="2628"/>
      </w:tblGrid>
      <w:tr w:rsidR="00907550" w14:paraId="54CE1815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BC0BB" w14:textId="77777777" w:rsidR="00907550" w:rsidRDefault="00000000"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客户细分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1D9FEC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地区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D0057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总利润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3011E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利润率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5EAAE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备注</w:t>
            </w:r>
          </w:p>
        </w:tc>
      </w:tr>
      <w:tr w:rsidR="00907550" w14:paraId="0BC52A60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7ECD20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9002E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东部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BBC7F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$26,709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B271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21.0%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72D64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最高利润率组合</w:t>
            </w:r>
          </w:p>
        </w:tc>
      </w:tr>
      <w:tr w:rsidR="00907550" w14:paraId="088E89B7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75E92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消费者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3DBA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西部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3DB27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$57,451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F4462F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15.8%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579CC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规模最大且健康</w:t>
            </w:r>
          </w:p>
        </w:tc>
      </w:tr>
      <w:tr w:rsidR="00907550" w14:paraId="073D86E9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45D5AB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企业客户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22F71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西部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6CD08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$34,437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893305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15.3%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72E7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稳健</w:t>
            </w:r>
          </w:p>
        </w:tc>
      </w:tr>
      <w:tr w:rsidR="00907550" w14:paraId="660DFD09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D54A9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5C43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西部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45BC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$16,530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0A75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12.1%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FD513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一般</w:t>
            </w:r>
          </w:p>
        </w:tc>
      </w:tr>
      <w:tr w:rsidR="00907550" w14:paraId="0F63E701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B138E2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消费者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DFFE2F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中部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720E0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$8,564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24F602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3.4%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E9341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问题区域</w:t>
            </w:r>
          </w:p>
        </w:tc>
      </w:tr>
      <w:tr w:rsidR="00907550" w14:paraId="113A313B" w14:textId="77777777">
        <w:tc>
          <w:tcPr>
            <w:tcW w:w="1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1C24C" w14:textId="77777777" w:rsidR="00907550" w:rsidRDefault="00000000">
            <w:r>
              <w:rPr>
                <w:rFonts w:eastAsia="Arial"/>
                <w:color w:val="000000"/>
                <w:sz w:val="20"/>
                <w:szCs w:val="20"/>
              </w:rPr>
              <w:t>家庭办公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7822E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南部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9C466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$4,621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3064E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6.2%</w:t>
            </w:r>
          </w:p>
        </w:tc>
        <w:tc>
          <w:tcPr>
            <w:tcW w:w="2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9BE8AD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低效</w:t>
            </w:r>
          </w:p>
        </w:tc>
      </w:tr>
    </w:tbl>
    <w:p w14:paraId="007F6BFF" w14:textId="77777777" w:rsidR="00907550" w:rsidRDefault="00907550"/>
    <w:p w14:paraId="335EB4A8" w14:textId="77777777" w:rsidR="00907550" w:rsidRDefault="00000000">
      <w:pPr>
        <w:spacing w:before="80" w:after="80"/>
        <w:jc w:val="both"/>
      </w:pPr>
      <w:r>
        <w:rPr>
          <w:rFonts w:eastAsia="Arial"/>
        </w:rPr>
        <w:t>东部 区的 家庭办公 客户利润率高达 21.0%，是所有细分组合中最高的。然而，从销售团队的关注度和资源投入来看，这个群体很可能是</w:t>
      </w:r>
      <w:proofErr w:type="gramStart"/>
      <w:r>
        <w:rPr>
          <w:rFonts w:eastAsia="Arial"/>
        </w:rPr>
        <w:t>最</w:t>
      </w:r>
      <w:proofErr w:type="gramEnd"/>
      <w:r>
        <w:rPr>
          <w:rFonts w:eastAsia="Arial"/>
        </w:rPr>
        <w:t>被忽视的。中部 区的 消费者 客户利润率仅 3.4%，是规模较大但严重亏损效率的组合，需要重点审视。</w:t>
      </w:r>
    </w:p>
    <w:p w14:paraId="53457283" w14:textId="77777777" w:rsidR="00907550" w:rsidRDefault="00907550"/>
    <w:p w14:paraId="2A46FCFF" w14:textId="77777777" w:rsidR="00907550" w:rsidRDefault="00000000">
      <w:pPr>
        <w:pStyle w:val="2"/>
      </w:pPr>
      <w:r>
        <w:t>3.4 高管结论</w:t>
      </w:r>
    </w:p>
    <w:p w14:paraId="006485ED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  <w:b/>
          <w:bCs/>
        </w:rPr>
        <w:lastRenderedPageBreak/>
        <w:t>重新评估客户战略优先级：家庭办公 客户群应从资源边缘提升</w:t>
      </w:r>
      <w:proofErr w:type="gramStart"/>
      <w:r>
        <w:rPr>
          <w:rFonts w:eastAsia="Arial"/>
          <w:b/>
          <w:bCs/>
        </w:rPr>
        <w:t>至战略</w:t>
      </w:r>
      <w:proofErr w:type="gramEnd"/>
      <w:r>
        <w:rPr>
          <w:rFonts w:eastAsia="Arial"/>
          <w:b/>
          <w:bCs/>
        </w:rPr>
        <w:t>重点，尤其是 东部 和 中部 区域。</w:t>
      </w:r>
    </w:p>
    <w:p w14:paraId="2B728CEC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消费者 群体的体量最大，但利润率最低，需要分析其购买结构——是产品组合问题还是折扣问题？针对性优化而非一刀切地削减资源。</w:t>
      </w:r>
    </w:p>
    <w:p w14:paraId="6494F993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建议为 家庭办公 客户设计专属的 办公用品类 套餐或订阅服务，因为这个组合利润率最高（20.8%），且客户黏性通常较强。</w:t>
      </w:r>
    </w:p>
    <w:p w14:paraId="42375B56" w14:textId="77777777" w:rsidR="00907550" w:rsidRDefault="00000000">
      <w:pPr>
        <w:pStyle w:val="a4"/>
        <w:numPr>
          <w:ilvl w:val="0"/>
          <w:numId w:val="2"/>
        </w:numPr>
        <w:spacing w:before="60" w:after="60"/>
      </w:pPr>
      <w:r>
        <w:rPr>
          <w:rFonts w:eastAsia="Arial"/>
        </w:rPr>
        <w:t>企业客户 客户并非不值得维护，但应重点引导其向 科技类 和 办公用品类 采购，避免低利润的 家具类 订单占比过高。</w:t>
      </w:r>
    </w:p>
    <w:p w14:paraId="60B7D166" w14:textId="77777777" w:rsidR="00907550" w:rsidRDefault="00907550"/>
    <w:p w14:paraId="06E92A1F" w14:textId="77777777" w:rsidR="00907550" w:rsidRDefault="00907550">
      <w:pPr>
        <w:pBdr>
          <w:bottom w:val="single" w:sz="2" w:space="4" w:color="DDDDDD"/>
        </w:pBdr>
        <w:spacing w:before="200" w:after="200"/>
      </w:pPr>
    </w:p>
    <w:p w14:paraId="3A01A89A" w14:textId="77777777" w:rsidR="00907550" w:rsidRDefault="00000000">
      <w:pPr>
        <w:pStyle w:val="1"/>
        <w:pBdr>
          <w:bottom w:val="single" w:sz="6" w:space="4" w:color="1F3864"/>
        </w:pBdr>
      </w:pPr>
      <w:r>
        <w:t>综合行动建议</w:t>
      </w:r>
    </w:p>
    <w:p w14:paraId="6CADDE68" w14:textId="77777777" w:rsidR="00907550" w:rsidRDefault="00000000">
      <w:pPr>
        <w:spacing w:before="80" w:after="80"/>
        <w:jc w:val="both"/>
      </w:pPr>
      <w:r>
        <w:rPr>
          <w:rFonts w:eastAsia="Arial"/>
        </w:rPr>
        <w:t>三个问题的数据分析最终指向同一个核心矛盾：公司在追求规模和市场覆盖的过程中，系统性地牺牲了利润质量。以下是我认为优先级最高的五项行动：</w:t>
      </w:r>
    </w:p>
    <w:p w14:paraId="653A1A0A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760"/>
        <w:gridCol w:w="1500"/>
        <w:gridCol w:w="1500"/>
      </w:tblGrid>
      <w:tr w:rsidR="00907550" w14:paraId="0B9FA3A3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5DEF5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优先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71101" w14:textId="77777777" w:rsidR="00907550" w:rsidRDefault="00000000"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行动项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42F74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时间框架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D3D26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预期影响</w:t>
            </w:r>
          </w:p>
        </w:tc>
      </w:tr>
      <w:tr w:rsidR="00907550" w14:paraId="635809FF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56CF9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优先级</w:t>
            </w:r>
            <w:proofErr w:type="gramStart"/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24E3F" w14:textId="77777777" w:rsidR="00907550" w:rsidRDefault="00000000">
            <w:r>
              <w:rPr>
                <w:rFonts w:eastAsia="Arial"/>
                <w:sz w:val="20"/>
                <w:szCs w:val="20"/>
              </w:rPr>
              <w:t>立即启动折扣审批分级制度，20%为硬性红线，超出须逐级审批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08CCC" w14:textId="77777777" w:rsidR="00907550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30天内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633A4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高</w:t>
            </w:r>
          </w:p>
        </w:tc>
      </w:tr>
      <w:tr w:rsidR="00907550" w14:paraId="2C0D151F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4594C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优先级二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29465" w14:textId="77777777" w:rsidR="00907550" w:rsidRDefault="00000000">
            <w:r>
              <w:rPr>
                <w:rFonts w:eastAsia="Arial"/>
                <w:sz w:val="20"/>
                <w:szCs w:val="20"/>
              </w:rPr>
              <w:t>对桌子、书柜子品类进行定价重审，考虑退出或大幅提价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D417" w14:textId="77777777" w:rsidR="00907550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60天内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C3153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高</w:t>
            </w:r>
          </w:p>
        </w:tc>
      </w:tr>
      <w:tr w:rsidR="00907550" w14:paraId="4F071D70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032F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优先级三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6C909" w14:textId="77777777" w:rsidR="00907550" w:rsidRDefault="00000000">
            <w:r>
              <w:rPr>
                <w:rFonts w:eastAsia="Arial"/>
                <w:sz w:val="20"/>
                <w:szCs w:val="20"/>
              </w:rPr>
              <w:t>对中部地区进行折扣使用专项审计，追责并重建规则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B497D" w14:textId="77777777" w:rsidR="00907550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45天内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F3DEA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中</w:t>
            </w:r>
          </w:p>
        </w:tc>
      </w:tr>
      <w:tr w:rsidR="00907550" w14:paraId="031C24ED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12CF3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优先级四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64942" w14:textId="77777777" w:rsidR="00907550" w:rsidRDefault="00000000">
            <w:r>
              <w:rPr>
                <w:rFonts w:eastAsia="Arial"/>
                <w:sz w:val="20"/>
                <w:szCs w:val="20"/>
              </w:rPr>
              <w:t>制定家庭办公客户专属增长计划，尤其聚焦东部区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540CC" w14:textId="77777777" w:rsidR="00907550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季度内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38118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中</w:t>
            </w:r>
          </w:p>
        </w:tc>
      </w:tr>
      <w:tr w:rsidR="00907550" w14:paraId="3E56E723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15C35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C00000"/>
                <w:sz w:val="20"/>
                <w:szCs w:val="20"/>
              </w:rPr>
              <w:t>优先级五</w:t>
            </w:r>
          </w:p>
        </w:tc>
        <w:tc>
          <w:tcPr>
            <w:tcW w:w="5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FB3B5E" w14:textId="77777777" w:rsidR="00907550" w:rsidRDefault="00000000">
            <w:r>
              <w:rPr>
                <w:rFonts w:eastAsia="Arial"/>
                <w:sz w:val="20"/>
                <w:szCs w:val="20"/>
              </w:rPr>
              <w:t>将子品类利润率纳入销售团队关键绩效指标，与折扣权限直接挂钩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15505" w14:textId="77777777" w:rsidR="00907550" w:rsidRDefault="00000000">
            <w:pPr>
              <w:jc w:val="center"/>
            </w:pPr>
            <w:r>
              <w:rPr>
                <w:rFonts w:eastAsia="Arial"/>
                <w:sz w:val="20"/>
                <w:szCs w:val="20"/>
              </w:rPr>
              <w:t>季度内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7F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792C7" w14:textId="77777777" w:rsidR="00907550" w:rsidRDefault="00000000">
            <w:pPr>
              <w:jc w:val="center"/>
            </w:pPr>
            <w:r>
              <w:rPr>
                <w:rFonts w:eastAsia="Arial"/>
                <w:color w:val="000000"/>
                <w:sz w:val="20"/>
                <w:szCs w:val="20"/>
              </w:rPr>
              <w:t>中</w:t>
            </w:r>
          </w:p>
        </w:tc>
      </w:tr>
    </w:tbl>
    <w:p w14:paraId="26EDF385" w14:textId="77777777" w:rsidR="00907550" w:rsidRDefault="00907550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8939"/>
      </w:tblGrid>
      <w:tr w:rsidR="00907550" w14:paraId="5FD931FB" w14:textId="77777777"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A40BF0" w14:textId="77777777" w:rsidR="00907550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18"/>
                <w:szCs w:val="18"/>
              </w:rPr>
              <w:t>最终判断</w:t>
            </w:r>
          </w:p>
        </w:tc>
        <w:tc>
          <w:tcPr>
            <w:tcW w:w="8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FF0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5D6AA8C3" w14:textId="77777777" w:rsidR="00907550" w:rsidRDefault="00000000">
            <w:r>
              <w:rPr>
                <w:rFonts w:eastAsia="Arial"/>
                <w:i/>
                <w:iCs/>
                <w:sz w:val="21"/>
                <w:szCs w:val="21"/>
              </w:rPr>
              <w:t>数据支持一个明确结论：当前的问题不是市场机会不足，而是内部执行纪律不足。折扣失控、品类错配、客户优先级误判——这三个问题都有数据可查、可量化，也都有对应的管理解决方案。下一步需要的是执行意志，而不是更多分析。</w:t>
            </w:r>
          </w:p>
        </w:tc>
      </w:tr>
    </w:tbl>
    <w:p w14:paraId="2A5F4EAA" w14:textId="77777777" w:rsidR="00907550" w:rsidRDefault="00907550"/>
    <w:sectPr w:rsidR="0090755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0360" w14:textId="77777777" w:rsidR="006D00D6" w:rsidRDefault="006D00D6">
      <w:r>
        <w:separator/>
      </w:r>
    </w:p>
  </w:endnote>
  <w:endnote w:type="continuationSeparator" w:id="0">
    <w:p w14:paraId="4F4FDA4A" w14:textId="77777777" w:rsidR="006D00D6" w:rsidRDefault="006D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FC45" w14:textId="3D3EE785" w:rsidR="00907550" w:rsidRPr="00AB1787" w:rsidRDefault="00000000">
    <w:pPr>
      <w:pBdr>
        <w:top w:val="single" w:sz="4" w:space="4" w:color="CCCCCC"/>
      </w:pBdr>
      <w:jc w:val="center"/>
      <w:rPr>
        <w:rFonts w:hint="eastAsia"/>
      </w:rPr>
    </w:pPr>
    <w:r>
      <w:rPr>
        <w:rFonts w:eastAsia="Arial"/>
        <w:color w:val="888888"/>
        <w:sz w:val="18"/>
        <w:szCs w:val="18"/>
      </w:rPr>
      <w:t xml:space="preserve">第 </w:t>
    </w:r>
    <w:r>
      <w:rPr>
        <w:color w:val="888888"/>
        <w:sz w:val="18"/>
        <w:szCs w:val="18"/>
      </w:rPr>
      <w:fldChar w:fldCharType="begin"/>
    </w:r>
    <w:r>
      <w:rPr>
        <w:rFonts w:eastAsia="Arial"/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976E37">
      <w:rPr>
        <w:rFonts w:eastAsia="Arial"/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rFonts w:eastAsia="Arial"/>
        <w:color w:val="888888"/>
        <w:sz w:val="18"/>
        <w:szCs w:val="18"/>
      </w:rPr>
      <w:t xml:space="preserve"> 页  |  </w:t>
    </w:r>
    <w:r w:rsidR="00AB1787">
      <w:rPr>
        <w:rFonts w:ascii="宋体" w:eastAsia="宋体" w:hAnsi="宋体" w:cs="宋体" w:hint="eastAsia"/>
        <w:color w:val="888888"/>
        <w:sz w:val="18"/>
        <w:szCs w:val="18"/>
      </w:rPr>
      <w:t>北京知微探界科技有限公司</w:t>
    </w:r>
    <w:r>
      <w:rPr>
        <w:rFonts w:eastAsia="Arial"/>
        <w:color w:val="888888"/>
        <w:sz w:val="18"/>
        <w:szCs w:val="18"/>
      </w:rPr>
      <w:t xml:space="preserve"> 202</w:t>
    </w:r>
    <w:r w:rsidR="00AB1787">
      <w:rPr>
        <w:rFonts w:hint="eastAsia"/>
        <w:color w:val="888888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9171" w14:textId="77777777" w:rsidR="006D00D6" w:rsidRDefault="006D00D6">
      <w:r>
        <w:rPr>
          <w:rFonts w:hint="eastAsia"/>
        </w:rPr>
        <w:separator/>
      </w:r>
    </w:p>
  </w:footnote>
  <w:footnote w:type="continuationSeparator" w:id="0">
    <w:p w14:paraId="16EA13E3" w14:textId="77777777" w:rsidR="006D00D6" w:rsidRDefault="006D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7C92" w14:textId="3C36C1CF" w:rsidR="00907550" w:rsidRDefault="00000000">
    <w:pPr>
      <w:pBdr>
        <w:bottom w:val="single" w:sz="4" w:space="4" w:color="1F3864"/>
      </w:pBdr>
    </w:pPr>
    <w:r>
      <w:rPr>
        <w:rFonts w:eastAsia="Arial"/>
        <w:color w:val="888888"/>
        <w:sz w:val="18"/>
        <w:szCs w:val="18"/>
      </w:rPr>
      <w:t>Superstore 零售战略分析报告</w:t>
    </w:r>
    <w:r>
      <w:rPr>
        <w:rFonts w:eastAsia="Arial"/>
        <w:color w:val="AAAAAA"/>
        <w:sz w:val="18"/>
        <w:szCs w:val="18"/>
      </w:rPr>
      <w:t xml:space="preserve">  |  </w:t>
    </w:r>
    <w:r w:rsidR="00AB1787" w:rsidRPr="00AB1787">
      <w:rPr>
        <w:rFonts w:eastAsia="Arial" w:hint="eastAsia"/>
        <w:color w:val="AAAAAA"/>
        <w:sz w:val="18"/>
        <w:szCs w:val="18"/>
      </w:rPr>
      <w:t xml:space="preserve">AI </w:t>
    </w:r>
    <w:r w:rsidR="00AB1787" w:rsidRPr="00AB1787">
      <w:rPr>
        <w:rFonts w:ascii="宋体" w:eastAsia="宋体" w:hAnsi="宋体" w:cs="宋体" w:hint="eastAsia"/>
        <w:color w:val="AAAAAA"/>
        <w:sz w:val="18"/>
        <w:szCs w:val="18"/>
      </w:rPr>
      <w:t>数据分析师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0717E"/>
    <w:multiLevelType w:val="hybridMultilevel"/>
    <w:tmpl w:val="C444ECD8"/>
    <w:lvl w:ilvl="0" w:tplc="C1E4C1F4">
      <w:start w:val="1"/>
      <w:numFmt w:val="bullet"/>
      <w:lvlText w:val="●"/>
      <w:lvlJc w:val="left"/>
      <w:pPr>
        <w:ind w:left="720" w:hanging="360"/>
      </w:pPr>
    </w:lvl>
    <w:lvl w:ilvl="1" w:tplc="6206DF00">
      <w:start w:val="1"/>
      <w:numFmt w:val="bullet"/>
      <w:lvlText w:val="○"/>
      <w:lvlJc w:val="left"/>
      <w:pPr>
        <w:ind w:left="1440" w:hanging="360"/>
      </w:pPr>
    </w:lvl>
    <w:lvl w:ilvl="2" w:tplc="9F669C38">
      <w:start w:val="1"/>
      <w:numFmt w:val="bullet"/>
      <w:lvlText w:val="■"/>
      <w:lvlJc w:val="left"/>
      <w:pPr>
        <w:ind w:left="2160" w:hanging="360"/>
      </w:pPr>
    </w:lvl>
    <w:lvl w:ilvl="3" w:tplc="8236FA5A">
      <w:start w:val="1"/>
      <w:numFmt w:val="bullet"/>
      <w:lvlText w:val="●"/>
      <w:lvlJc w:val="left"/>
      <w:pPr>
        <w:ind w:left="2880" w:hanging="360"/>
      </w:pPr>
    </w:lvl>
    <w:lvl w:ilvl="4" w:tplc="E822EAC0">
      <w:start w:val="1"/>
      <w:numFmt w:val="bullet"/>
      <w:lvlText w:val="○"/>
      <w:lvlJc w:val="left"/>
      <w:pPr>
        <w:ind w:left="3600" w:hanging="360"/>
      </w:pPr>
    </w:lvl>
    <w:lvl w:ilvl="5" w:tplc="759A38BC">
      <w:start w:val="1"/>
      <w:numFmt w:val="bullet"/>
      <w:lvlText w:val="■"/>
      <w:lvlJc w:val="left"/>
      <w:pPr>
        <w:ind w:left="4320" w:hanging="360"/>
      </w:pPr>
    </w:lvl>
    <w:lvl w:ilvl="6" w:tplc="E79CFE2A">
      <w:start w:val="1"/>
      <w:numFmt w:val="bullet"/>
      <w:lvlText w:val="●"/>
      <w:lvlJc w:val="left"/>
      <w:pPr>
        <w:ind w:left="5040" w:hanging="360"/>
      </w:pPr>
    </w:lvl>
    <w:lvl w:ilvl="7" w:tplc="1C1CA07C">
      <w:start w:val="1"/>
      <w:numFmt w:val="bullet"/>
      <w:lvlText w:val="●"/>
      <w:lvlJc w:val="left"/>
      <w:pPr>
        <w:ind w:left="5760" w:hanging="360"/>
      </w:pPr>
    </w:lvl>
    <w:lvl w:ilvl="8" w:tplc="3730A9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1417D2D"/>
    <w:multiLevelType w:val="hybridMultilevel"/>
    <w:tmpl w:val="060EC6E2"/>
    <w:lvl w:ilvl="0" w:tplc="44642494">
      <w:start w:val="1"/>
      <w:numFmt w:val="bullet"/>
      <w:lvlText w:val="•"/>
      <w:lvlJc w:val="left"/>
      <w:pPr>
        <w:ind w:left="720" w:hanging="360"/>
      </w:pPr>
    </w:lvl>
    <w:lvl w:ilvl="1" w:tplc="8EACED42">
      <w:numFmt w:val="decimal"/>
      <w:lvlText w:val=""/>
      <w:lvlJc w:val="left"/>
    </w:lvl>
    <w:lvl w:ilvl="2" w:tplc="C4465FF8">
      <w:numFmt w:val="decimal"/>
      <w:lvlText w:val=""/>
      <w:lvlJc w:val="left"/>
    </w:lvl>
    <w:lvl w:ilvl="3" w:tplc="0BECB968">
      <w:numFmt w:val="decimal"/>
      <w:lvlText w:val=""/>
      <w:lvlJc w:val="left"/>
    </w:lvl>
    <w:lvl w:ilvl="4" w:tplc="74741DFC">
      <w:numFmt w:val="decimal"/>
      <w:lvlText w:val=""/>
      <w:lvlJc w:val="left"/>
    </w:lvl>
    <w:lvl w:ilvl="5" w:tplc="C6F2D356">
      <w:numFmt w:val="decimal"/>
      <w:lvlText w:val=""/>
      <w:lvlJc w:val="left"/>
    </w:lvl>
    <w:lvl w:ilvl="6" w:tplc="2D78E3B4">
      <w:numFmt w:val="decimal"/>
      <w:lvlText w:val=""/>
      <w:lvlJc w:val="left"/>
    </w:lvl>
    <w:lvl w:ilvl="7" w:tplc="1C181D8C">
      <w:numFmt w:val="decimal"/>
      <w:lvlText w:val=""/>
      <w:lvlJc w:val="left"/>
    </w:lvl>
    <w:lvl w:ilvl="8" w:tplc="F7425652">
      <w:numFmt w:val="decimal"/>
      <w:lvlText w:val=""/>
      <w:lvlJc w:val="left"/>
    </w:lvl>
  </w:abstractNum>
  <w:num w:numId="1" w16cid:durableId="893615827">
    <w:abstractNumId w:val="0"/>
    <w:lvlOverride w:ilvl="0">
      <w:startOverride w:val="1"/>
    </w:lvlOverride>
  </w:num>
  <w:num w:numId="2" w16cid:durableId="72321274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50"/>
    <w:rsid w:val="006D00D6"/>
    <w:rsid w:val="00907550"/>
    <w:rsid w:val="00976E37"/>
    <w:rsid w:val="00AB1787"/>
    <w:rsid w:val="00AC0F7C"/>
    <w:rsid w:val="00CC24E0"/>
    <w:rsid w:val="00CF00E1"/>
    <w:rsid w:val="00E1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C234D"/>
  <w15:docId w15:val="{EBBB29C8-9A44-4F4A-94A1-9DA630B5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120"/>
      <w:outlineLvl w:val="0"/>
    </w:pPr>
    <w:rPr>
      <w:rFonts w:eastAsia="Arial"/>
      <w:b/>
      <w:bCs/>
      <w:color w:val="1F3864"/>
      <w:sz w:val="32"/>
      <w:szCs w:val="32"/>
    </w:rPr>
  </w:style>
  <w:style w:type="paragraph" w:styleId="2">
    <w:name w:val="heading 2"/>
    <w:uiPriority w:val="9"/>
    <w:unhideWhenUsed/>
    <w:qFormat/>
    <w:pPr>
      <w:spacing w:before="280" w:after="100"/>
      <w:outlineLvl w:val="1"/>
    </w:pPr>
    <w:rPr>
      <w:rFonts w:eastAsia="Arial"/>
      <w:b/>
      <w:bCs/>
      <w:color w:val="2E5090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AB17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B1787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B17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B1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BE637-2F1B-4B32-BAF7-7D8162B7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A306</cp:lastModifiedBy>
  <cp:revision>4</cp:revision>
  <dcterms:created xsi:type="dcterms:W3CDTF">2026-03-03T09:31:00Z</dcterms:created>
  <dcterms:modified xsi:type="dcterms:W3CDTF">2026-03-04T08:00:00Z</dcterms:modified>
</cp:coreProperties>
</file>